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0" w:right="0" w:hanging="0"/>
        <w:jc w:val="right"/>
        <w:rPr/>
      </w:pPr>
      <w:r>
        <w:rPr>
          <w:rFonts w:eastAsia="Times New Roman"/>
        </w:rPr>
        <w:t>Załącznik nr 1 do siwz</w:t>
      </w:r>
    </w:p>
    <w:p>
      <w:pPr>
        <w:pStyle w:val="Normal"/>
        <w:bidi w:val="0"/>
        <w:spacing w:before="0" w:after="120"/>
        <w:ind w:left="0" w:right="0" w:firstLine="284"/>
        <w:jc w:val="left"/>
        <w:rPr/>
      </w:pPr>
      <w:r>
        <w:rPr>
          <w:rFonts w:eastAsia="Times New Roman"/>
        </w:rPr>
        <w:t xml:space="preserve">Nazwa i adres siedziby Wykonawcy: </w:t>
      </w:r>
    </w:p>
    <w:p>
      <w:pPr>
        <w:pStyle w:val="Normal"/>
        <w:bidi w:val="0"/>
        <w:spacing w:before="0" w:after="120"/>
        <w:ind w:left="0" w:right="0" w:firstLine="284"/>
        <w:jc w:val="left"/>
        <w:rPr/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0" w:after="120"/>
        <w:ind w:left="0" w:right="0" w:firstLine="284"/>
        <w:jc w:val="left"/>
        <w:rPr/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 w:before="0" w:after="0"/>
        <w:ind w:left="0" w:right="0" w:firstLine="284"/>
        <w:jc w:val="left"/>
        <w:rPr/>
      </w:pPr>
      <w:r>
        <w:rPr>
          <w:rFonts w:eastAsia="Times New Roman"/>
        </w:rPr>
        <w:t>nr NIP</w:t>
        <w:tab/>
        <w:tab/>
        <w:t>...................................................</w:t>
      </w:r>
    </w:p>
    <w:p>
      <w:pPr>
        <w:pStyle w:val="Normal"/>
        <w:bidi w:val="0"/>
        <w:spacing w:lineRule="auto" w:line="276" w:before="0" w:after="0"/>
        <w:ind w:left="0" w:right="0" w:firstLine="284"/>
        <w:jc w:val="left"/>
        <w:rPr/>
      </w:pPr>
      <w:r>
        <w:rPr>
          <w:rFonts w:eastAsia="Times New Roman"/>
        </w:rPr>
        <w:t>nr REGON</w:t>
        <w:tab/>
        <w:tab/>
        <w:t>...................................................</w:t>
      </w:r>
    </w:p>
    <w:p>
      <w:pPr>
        <w:pStyle w:val="Normal"/>
        <w:tabs>
          <w:tab w:val="clear" w:pos="709"/>
          <w:tab w:val="left" w:pos="708" w:leader="none"/>
          <w:tab w:val="center" w:pos="2127" w:leader="none"/>
          <w:tab w:val="center" w:pos="4536" w:leader="none"/>
          <w:tab w:val="right" w:pos="9072" w:leader="none"/>
        </w:tabs>
        <w:bidi w:val="0"/>
        <w:spacing w:lineRule="auto" w:line="276" w:before="0" w:after="0"/>
        <w:ind w:left="0" w:right="0" w:firstLine="284"/>
        <w:jc w:val="left"/>
        <w:rPr/>
      </w:pPr>
      <w:r>
        <w:rPr>
          <w:rFonts w:eastAsia="Times New Roman"/>
          <w:lang w:val="x-none"/>
        </w:rPr>
        <w:t xml:space="preserve">nr telefonu </w:t>
      </w:r>
      <w:r>
        <w:rPr>
          <w:rFonts w:eastAsia="Times New Roman"/>
        </w:rPr>
        <w:t xml:space="preserve">             </w:t>
      </w:r>
      <w:r>
        <w:rPr>
          <w:rFonts w:eastAsia="Times New Roman"/>
          <w:lang w:val="x-none"/>
        </w:rPr>
        <w:t>...................................................</w:t>
      </w:r>
      <w:r>
        <w:rPr>
          <w:rFonts w:eastAsia="Times New Roman"/>
        </w:rPr>
        <w:t>.</w:t>
      </w:r>
      <w:r>
        <w:rPr>
          <w:rFonts w:eastAsia="Times New Roman"/>
          <w:lang w:val="x-none"/>
        </w:rPr>
        <w:tab/>
      </w:r>
    </w:p>
    <w:p>
      <w:pPr>
        <w:pStyle w:val="Normal"/>
        <w:bidi w:val="0"/>
        <w:spacing w:lineRule="auto" w:line="276" w:before="0" w:after="0"/>
        <w:ind w:left="0" w:right="0" w:firstLine="284"/>
        <w:jc w:val="left"/>
        <w:rPr/>
      </w:pPr>
      <w:r>
        <w:rPr>
          <w:rFonts w:eastAsia="Times New Roman"/>
          <w:lang w:val="en-US"/>
        </w:rPr>
        <w:t>nr faksu</w:t>
        <w:tab/>
        <w:tab/>
        <w:t>...................................................</w:t>
      </w:r>
    </w:p>
    <w:p>
      <w:pPr>
        <w:pStyle w:val="Normal"/>
        <w:bidi w:val="0"/>
        <w:spacing w:lineRule="auto" w:line="276" w:before="0" w:after="0"/>
        <w:ind w:left="0" w:right="0" w:firstLine="284"/>
        <w:jc w:val="left"/>
        <w:rPr/>
      </w:pPr>
      <w:r>
        <w:rPr>
          <w:rFonts w:eastAsia="Times New Roman"/>
          <w:lang w:val="en-US"/>
        </w:rPr>
        <w:t xml:space="preserve">e-mail   </w:t>
        <w:tab/>
        <w:tab/>
        <w:t>...................................................</w:t>
      </w:r>
    </w:p>
    <w:p>
      <w:pPr>
        <w:pStyle w:val="Normal"/>
        <w:bidi w:val="0"/>
        <w:spacing w:lineRule="auto" w:line="276" w:before="0" w:after="0"/>
        <w:ind w:left="0" w:right="0" w:firstLine="284"/>
        <w:jc w:val="left"/>
        <w:rPr/>
      </w:pPr>
      <w:r>
        <w:rPr>
          <w:rFonts w:eastAsia="Times New Roman"/>
          <w:i w:val="false"/>
          <w:iCs w:val="false"/>
          <w:lang w:val="en-US"/>
        </w:rPr>
        <w:t>KRS/CEiDG</w:t>
      </w:r>
      <w:r>
        <w:rPr>
          <w:rFonts w:eastAsia="Times New Roman"/>
          <w:i/>
          <w:lang w:val="en-US"/>
        </w:rPr>
        <w:tab/>
      </w:r>
      <w:r>
        <w:rPr>
          <w:rFonts w:eastAsia="Times New Roman"/>
          <w:lang w:val="en-US"/>
        </w:rPr>
        <w:t>...................................................</w:t>
      </w:r>
    </w:p>
    <w:p>
      <w:pPr>
        <w:pStyle w:val="Normal"/>
        <w:bidi w:val="0"/>
        <w:spacing w:lineRule="auto" w:line="276" w:before="0" w:after="120"/>
        <w:ind w:left="284" w:right="0" w:hanging="0"/>
        <w:jc w:val="left"/>
        <w:rPr/>
      </w:pPr>
      <w:r>
        <w:rPr>
          <w:rFonts w:eastAsia="Times New Roman"/>
        </w:rPr>
        <w:t>dane osoby upoważnionej do kontaktowania się z Zamawiającym: .................................................................................................................................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576" w:leader="none"/>
        </w:tabs>
        <w:suppressAutoHyphens w:val="true"/>
        <w:bidi w:val="0"/>
        <w:spacing w:before="0" w:after="120"/>
        <w:ind w:left="0" w:right="0" w:firstLine="284"/>
        <w:jc w:val="center"/>
        <w:outlineLvl w:val="1"/>
        <w:rPr>
          <w:rFonts w:eastAsia="Times New Roman"/>
          <w:b/>
          <w:b/>
          <w:sz w:val="36"/>
          <w:lang w:val="x-none"/>
        </w:rPr>
      </w:pPr>
      <w:r>
        <w:rPr>
          <w:rFonts w:eastAsia="Times New Roman"/>
          <w:b/>
          <w:sz w:val="36"/>
          <w:lang w:val="x-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76" w:leader="none"/>
        </w:tabs>
        <w:suppressAutoHyphens w:val="true"/>
        <w:bidi w:val="0"/>
        <w:spacing w:before="0" w:after="120"/>
        <w:ind w:left="0" w:right="0" w:firstLine="284"/>
        <w:jc w:val="center"/>
        <w:outlineLvl w:val="1"/>
        <w:rPr>
          <w:rFonts w:eastAsia="Times New Roman"/>
          <w:b/>
          <w:b/>
          <w:sz w:val="36"/>
          <w:lang w:val="x-none"/>
        </w:rPr>
      </w:pPr>
      <w:r>
        <w:rPr>
          <w:rFonts w:eastAsia="Times New Roman"/>
          <w:b/>
          <w:sz w:val="36"/>
          <w:lang w:val="x-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76" w:leader="none"/>
        </w:tabs>
        <w:suppressAutoHyphens w:val="true"/>
        <w:bidi w:val="0"/>
        <w:spacing w:before="0" w:after="120"/>
        <w:ind w:left="0" w:right="0" w:firstLine="284"/>
        <w:jc w:val="center"/>
        <w:outlineLvl w:val="1"/>
        <w:rPr/>
      </w:pPr>
      <w:r>
        <w:rPr>
          <w:rFonts w:eastAsia="Times New Roman"/>
          <w:b/>
          <w:sz w:val="36"/>
          <w:lang w:val="x-none"/>
        </w:rPr>
        <w:t xml:space="preserve">O F E R T A   </w:t>
      </w:r>
      <w:r>
        <w:rPr>
          <w:rFonts w:eastAsia="Times New Roman"/>
          <w:b/>
          <w:caps/>
          <w:sz w:val="36"/>
          <w:lang w:val="x-none"/>
        </w:rPr>
        <w:t xml:space="preserve">W Y K O N A W C Y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76" w:leader="none"/>
        </w:tabs>
        <w:suppressAutoHyphens w:val="true"/>
        <w:bidi w:val="0"/>
        <w:spacing w:before="0" w:after="120"/>
        <w:ind w:left="0" w:right="0" w:firstLine="284"/>
        <w:jc w:val="center"/>
        <w:outlineLvl w:val="1"/>
        <w:rPr>
          <w:rFonts w:eastAsia="Times New Roman"/>
          <w:b/>
          <w:b/>
          <w:caps/>
          <w:sz w:val="36"/>
          <w:lang w:val="x-none"/>
        </w:rPr>
      </w:pPr>
      <w:r>
        <w:rPr>
          <w:rFonts w:eastAsia="Times New Roman"/>
          <w:b/>
          <w:caps/>
          <w:sz w:val="36"/>
          <w:lang w:val="x-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76" w:leader="none"/>
        </w:tabs>
        <w:suppressAutoHyphens w:val="true"/>
        <w:bidi w:val="0"/>
        <w:spacing w:before="0" w:after="120"/>
        <w:ind w:left="0" w:right="0" w:firstLine="284"/>
        <w:jc w:val="center"/>
        <w:outlineLvl w:val="1"/>
        <w:rPr>
          <w:rFonts w:eastAsia="Times New Roman"/>
          <w:b/>
          <w:b/>
          <w:caps/>
          <w:sz w:val="36"/>
          <w:lang w:val="x-none"/>
        </w:rPr>
      </w:pPr>
      <w:r>
        <w:rPr>
          <w:rFonts w:eastAsia="Times New Roman"/>
          <w:b/>
          <w:caps/>
          <w:sz w:val="36"/>
          <w:lang w:val="x-no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/>
          <w:color w:val="000000"/>
          <w:lang w:val="x-none" w:eastAsia="x-none"/>
        </w:rPr>
        <w:t>Nawiązując do ogłoszenia o przetargu nieograniczonym nr 4/2019 na: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/>
          <w:b/>
          <w:b/>
          <w:bCs/>
        </w:rPr>
      </w:pPr>
      <w:r>
        <w:rPr>
          <w:rFonts w:eastAsia="Times New Roman" w:ascii="Calibri" w:hAnsi="Calibri"/>
          <w:b/>
          <w:bCs/>
        </w:rPr>
      </w:r>
    </w:p>
    <w:p>
      <w:pPr>
        <w:pStyle w:val="Normal"/>
        <w:tabs>
          <w:tab w:val="clear" w:pos="709"/>
        </w:tabs>
        <w:bidi w:val="0"/>
        <w:spacing w:lineRule="auto" w:line="360" w:before="240" w:after="0"/>
        <w:ind w:left="284" w:right="0" w:hanging="284"/>
        <w:contextualSpacing/>
        <w:jc w:val="center"/>
        <w:rPr/>
      </w:pPr>
      <w:r>
        <w:rPr>
          <w:rFonts w:eastAsia="Times New Roman" w:ascii="Calibri" w:hAnsi="Calibri"/>
          <w:b/>
          <w:bCs/>
          <w:sz w:val="28"/>
          <w:szCs w:val="28"/>
        </w:rPr>
        <w:t xml:space="preserve">Zakup i dostawa fabrycznie nowego samochodu </w:t>
      </w:r>
      <w:r>
        <w:rPr>
          <w:rFonts w:eastAsia="Times New Roman" w:cs="Arial" w:ascii="Calibri" w:hAnsi="Calibri"/>
          <w:b/>
          <w:bCs/>
          <w:color w:val="auto"/>
          <w:kern w:val="2"/>
          <w:sz w:val="28"/>
          <w:szCs w:val="28"/>
          <w:lang w:val="pl-PL" w:eastAsia="zh-CN" w:bidi="hi-IN"/>
        </w:rPr>
        <w:t>9-cio osobowego przystosowanego</w:t>
      </w:r>
      <w:r>
        <w:rPr>
          <w:rFonts w:eastAsia="Times New Roman" w:ascii="Calibri" w:hAnsi="Calibri"/>
          <w:b/>
          <w:bCs/>
          <w:sz w:val="28"/>
          <w:szCs w:val="28"/>
        </w:rPr>
        <w:t xml:space="preserve"> </w:t>
      </w:r>
      <w:r>
        <w:rPr>
          <w:rFonts w:eastAsia="Times New Roman" w:cs="Arial" w:ascii="Calibri" w:hAnsi="Calibri"/>
          <w:b/>
          <w:bCs/>
          <w:color w:val="auto"/>
          <w:kern w:val="2"/>
          <w:sz w:val="28"/>
          <w:szCs w:val="28"/>
          <w:lang w:val="pl-PL" w:eastAsia="zh-CN" w:bidi="hi-IN"/>
        </w:rPr>
        <w:t xml:space="preserve">do przewozu osób niepełnosprawnych </w:t>
      </w:r>
    </w:p>
    <w:p>
      <w:pPr>
        <w:pStyle w:val="Normal"/>
        <w:tabs>
          <w:tab w:val="clear" w:pos="709"/>
        </w:tabs>
        <w:bidi w:val="0"/>
        <w:spacing w:lineRule="auto" w:line="360" w:before="240" w:after="0"/>
        <w:ind w:left="284" w:right="0" w:hanging="284"/>
        <w:contextualSpacing/>
        <w:jc w:val="center"/>
        <w:rPr/>
      </w:pPr>
      <w:r>
        <w:rPr>
          <w:rFonts w:eastAsia="Times New Roman" w:cs="Arial" w:ascii="Calibri" w:hAnsi="Calibri"/>
          <w:b/>
          <w:bCs/>
          <w:color w:val="auto"/>
          <w:kern w:val="2"/>
          <w:sz w:val="28"/>
          <w:szCs w:val="28"/>
          <w:lang w:val="pl-PL" w:eastAsia="zh-CN" w:bidi="hi-IN"/>
        </w:rPr>
        <w:t>dla</w:t>
      </w:r>
      <w:r>
        <w:rPr>
          <w:rFonts w:eastAsia="Times New Roman" w:ascii="Calibri" w:hAnsi="Calibri"/>
          <w:b/>
          <w:bCs/>
          <w:sz w:val="28"/>
          <w:szCs w:val="28"/>
        </w:rPr>
        <w:t xml:space="preserve"> Domu Pomocy Społecznej w Łętowni</w:t>
      </w:r>
    </w:p>
    <w:p>
      <w:pPr>
        <w:pStyle w:val="Normal"/>
        <w:widowControl w:val="false"/>
        <w:shd w:val="clear" w:fill="FFFFFF"/>
        <w:tabs>
          <w:tab w:val="clear" w:pos="709"/>
          <w:tab w:val="left" w:pos="360" w:leader="none"/>
        </w:tabs>
        <w:bidi w:val="0"/>
        <w:spacing w:lineRule="exact" w:line="274" w:before="120" w:after="0"/>
        <w:jc w:val="both"/>
        <w:rPr>
          <w:rFonts w:eastAsia="Times New Roman"/>
          <w:color w:val="000000"/>
          <w:lang w:val="x-none" w:eastAsia="x-none"/>
        </w:rPr>
      </w:pPr>
      <w:r>
        <w:rPr>
          <w:rFonts w:eastAsia="Times New Roman"/>
          <w:color w:val="000000"/>
          <w:lang w:val="x-none" w:eastAsia="x-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bidi w:val="0"/>
        <w:jc w:val="left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</w:r>
      <w:r>
        <w:br w:type="page"/>
      </w:r>
    </w:p>
    <w:tbl>
      <w:tblPr>
        <w:tblW w:w="92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4179"/>
        <w:gridCol w:w="2079"/>
      </w:tblGrid>
      <w:tr>
        <w:trPr>
          <w:trHeight w:val="483" w:hRule="atLeas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pageBreakBefore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OPIS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Parametry wymagane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Oferta Dostawcy / wypełnić  lub wpisać słowo „tak” /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b/>
                <w:lang w:eastAsia="en-US"/>
              </w:rPr>
              <w:t>I. DANE OGÓLNE</w:t>
            </w:r>
          </w:p>
        </w:tc>
      </w:tr>
      <w:tr>
        <w:trPr>
          <w:trHeight w:val="380" w:hRule="atLeas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Marka pojazdu: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>
          <w:trHeight w:val="402" w:hRule="atLeas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Model pojazdu: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Rok produkcji</w:t>
              <w:tab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val="pl-PL" w:eastAsia="en-US" w:bidi="ar-SA"/>
              </w:rPr>
              <w:t xml:space="preserve">2018 r., 2019 r., fabrycznie nowy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 xml:space="preserve">Typ nadwozia </w:t>
              <w:tab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val="pl-PL" w:eastAsia="en-US" w:bidi="ar-SA"/>
              </w:rPr>
              <w:t>Samonośne typu kombi, pełne przeszklenie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Ilość miejsc</w:t>
              <w:tab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 xml:space="preserve">Szerokość całkowita samochodu bez lusterek zewnętrznych: </w:t>
              <w:tab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min. 1900 mm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>
          <w:trHeight w:val="456" w:hRule="atLeas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  <w:u w:val="single"/>
              </w:rPr>
              <w:t>Szerokość całkowita samochodu z elektrycznie złożonymi lusterkami zewnętrznym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max:2200 mm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>
          <w:trHeight w:val="456" w:hRule="atLeas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Długość całkowita pojazdu: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min 5300 mm</w:t>
              <w:tab/>
              <w:t>max. 5400 mm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>
          <w:trHeight w:val="400" w:hRule="atLeas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Rozstaw osi: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min. 3300 mm, max. 3500 mm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>
          <w:trHeight w:val="456" w:hRule="atLeast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Wysokość całkowita pojazdu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min. 1900, max 2020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Wysokość przedziału pasażerskiego: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min 1350 mm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Dopuszczalna masa całkowita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 xml:space="preserve">do 3500 kg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(dla kategorii prawa jazdy „B”)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Kolor nadwozia: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Lakier metalik lub perłowy w kolorze do uzgodnienia z zamawiającym (z wyłączeniem koloru czarnego i białego)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 xml:space="preserve">Koła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opony letnie fabrycznie nowe o rozmiarach zgodnych z homologacją producenta na obręczach stalowych z fabrycznymi kołpakami i czujnikami ciśnienia powietrza w oponach.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Dodatkowy komplet kół z fabrycznie nowymi oponami zimowymi o rozmiarach zgodnych z homologacją producenta na obręczach stalowych i czujnikami ciśnienia powietrza w oponach.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Koło zapasowe: pełnowymiarowe umieszczone pod podwoziem.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Nadwozie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przeszklone, wszystkie szyby termoizolacyjne (nie dopuszcza się oklejenia szyb folią przyciemniającą),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Drzwi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boczne przesuwne po prawej stronie przestrzeni pasażerskiej.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drzwi tylne dwuskrzydłowe symetryczne z wycieraczkami i elektrycznie ogrzewanymi szybami.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92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>II. WNĘTRZE</w:t>
            </w:r>
          </w:p>
        </w:tc>
      </w:tr>
      <w:tr>
        <w:trPr/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Fotele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Fotel kierowcy: z regulacją przesuwu tył-przód, pochylenia oparcia, pochylenia siedziska oraz wysokości i regulacji podparcia kręgosłupa, wyposażony w trzypunktowe bezwładnościowe pasy bezpieczeństwa,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Fotele pasażerów z prawej strony kierowcy: siedzenie podwójne wyposażone w trzypunktowe bezwładnościowe pasy bezpieczeństwa.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Fotele pasażerów tylne II rząd: siedzenie podwójne + niezależny fotel (układ 2+1) lub 3 niezależne fotele (układ 1+1+1) z regulowanymi zagłówkami oraz z trzypunktowymi pasami bezpieczeństwa, mocowanie do podłoża systemem szybkozłączy (szybko demontowalne) , fotel umiejscowiony od strony drzwi przesuwnych uchylny ułatwiający pasażerom zajęcie miejsca w ostatnim III rzędzie.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Fotele pasażerów tylne III rząd: siedzenie potrójne (układ 3) lub siedzenie podwójne + niezależny fotel (układ 2+1) lub 3 niezależne fotele (układ 1+1+1) z regulowanymi zagłówkami oraz z trzypunktowymi pasami bezpieczeństwa, mocowanie do podłoża systemem szybkozłączy (szybko demontowalne).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Tapicerka foteli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Fotele tapicerowane w kolorze ułatwiającym utrzymanie czystości.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Podsufitka oraz ściany boczne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Wyłożone płytą łatwozmywalną lub tapicerowane w kolorze ułatwiającym utrzymanie czystości.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Arial"/>
                <w:color w:val="auto"/>
                <w:kern w:val="2"/>
                <w:sz w:val="24"/>
                <w:szCs w:val="24"/>
                <w:lang w:val="pl-PL" w:eastAsia="en-US" w:bidi="hi-IN"/>
              </w:rPr>
              <w:t>Podłoga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łatwozmywalna, antypoślizgowa na całej długości pojazdu.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Arial"/>
                <w:color w:val="auto"/>
                <w:kern w:val="2"/>
                <w:sz w:val="24"/>
                <w:szCs w:val="24"/>
                <w:lang w:val="pl-PL" w:eastAsia="en-US" w:bidi="hi-IN"/>
              </w:rPr>
            </w:pPr>
            <w:r>
              <w:rPr>
                <w:rFonts w:eastAsia="Calibri" w:cs="Arial"/>
                <w:color w:val="auto"/>
                <w:kern w:val="2"/>
                <w:sz w:val="24"/>
                <w:szCs w:val="24"/>
                <w:lang w:val="pl-PL" w:eastAsia="en-US" w:bidi="hi-IN"/>
              </w:rPr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Dywaniki gumowe w części przedniej pojazdu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Arial"/>
                <w:b/>
                <w:bCs/>
                <w:color w:val="auto"/>
                <w:kern w:val="2"/>
                <w:sz w:val="24"/>
                <w:szCs w:val="24"/>
                <w:lang w:val="pl-PL" w:eastAsia="en-US" w:bidi="hi-IN"/>
              </w:rPr>
              <w:t>III. SILNIK</w:t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Typ silnika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wysokoprężny turbodiesel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 w:cs="Arial"/>
                <w:b w:val="false"/>
                <w:bCs w:val="false"/>
                <w:color w:val="auto"/>
                <w:kern w:val="2"/>
                <w:sz w:val="24"/>
                <w:szCs w:val="24"/>
                <w:lang w:val="pl-PL" w:eastAsia="en-US" w:bidi="hi-IN"/>
              </w:rPr>
              <w:t>Rodzaj paliwa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olej napędowy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Pojemność skokowa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min. 1900 cm3, max 2500 cm3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Moc silnika: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min. 100 KM, max 150 KM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Zużycie paliwa w l/100 km w cyklu miejskim/ pozamiejskim/ mieszany: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suppressAutoHyphens w:val="true"/>
              <w:bidi w:val="0"/>
              <w:snapToGrid w:val="false"/>
              <w:spacing w:lineRule="auto" w:line="264" w:before="0" w:after="0"/>
              <w:ind w:left="0" w:right="0" w:hanging="0"/>
              <w:jc w:val="both"/>
              <w:rPr/>
            </w:pPr>
            <w:r>
              <w:rPr/>
              <w:t>Max. 10</w:t>
            </w: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 / 7,5 / 8,5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Norma emisji spalin: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suppressAutoHyphens w:val="true"/>
              <w:bidi w:val="0"/>
              <w:snapToGrid w:val="false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Wymagana zgodnie z obowiązującymi przepisami min. </w:t>
            </w:r>
          </w:p>
          <w:p>
            <w:pPr>
              <w:pStyle w:val="Akapitzlist"/>
              <w:suppressAutoHyphens w:val="true"/>
              <w:bidi w:val="0"/>
              <w:snapToGrid w:val="false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EURO 6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/>
              <w:t>Skrzynia biegów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suppressAutoHyphens w:val="true"/>
              <w:bidi w:val="0"/>
              <w:snapToGrid w:val="false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manualna 5 lub 6 biegowa + bieg wsteczny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Rodzaj napędu: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suppressAutoHyphens w:val="true"/>
              <w:bidi w:val="0"/>
              <w:snapToGrid w:val="false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na oś przednią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>IV. WYPOSAŻENIE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Klimatyzacja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Dla przestrzeni kierowcy.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 xml:space="preserve">Dodatkowa klimatyzacja  z wydzielonym sterowaniem i dodatkowymi nawiewami przestrzeni pasażerskiej  II i III rzędu siedzeń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Ogrzewanie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Dodatkowa nagrzewnica elektryczna dla tylnej części pasażerskiej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Radio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Radio z systemem Bluetooth i zestawem głośnomówiącym do prowadzenia rozmów telefonicznych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Światła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Do jazdy dziennej uruchamiane automatycznie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Światła przeciwmgielne przednie i tylne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Sterowanie szyb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Sterowanie szyb w drzwiach przednich elektryczne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Lusterka zewnętrzne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  <w:u w:val="single"/>
              </w:rPr>
              <w:t>Elektrycznie regulowane, ogrzewane i składane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>V. BEZPIECZEŃSTWO</w:t>
            </w:r>
          </w:p>
        </w:tc>
      </w:tr>
      <w:tr>
        <w:trPr/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Systemy bezpieczeństwa jazdy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ABS – system zapobiegający blokowaniu kół podczas hamowania,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ASR – system kontroli momentu obrotowego (lub równoważny),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ESP – system stabilizacji toru jazdy (lub równoważny),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Poduszki powietrzne 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dla kierowcy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dla pasażerów na przednich siedzeniach obok kierowcy.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Czujniki parkowania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Czujniki parkowania z przodu i z tyłu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Zabezpieczenie przed kradzieżą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immobiliser,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autoalarm uruchamiany z co najmniej 2 kluczyków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centralny zamek uruchamiany z co najmniej 2 kluczyków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 w:val="false"/>
                <w:bCs w:val="false"/>
                <w:color w:val="auto"/>
                <w:sz w:val="24"/>
                <w:szCs w:val="24"/>
                <w:lang w:eastAsia="en-US"/>
              </w:rPr>
              <w:t>centralny zamek sterowany przyciskiem z pozycji kierowcy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Wyposażenie standardowe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Apteczka pierwszej pomocy, gaśnica, trójkąt ostrzegawczy,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>VI. WYPOSAŻENIE DLA OSÓB NIEPEŁNOSPRAWNYCH</w:t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Szyny  podłogowe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Podłogowe szyny zaczepowe montowane wzdłużnie do mocowania jednego wózka inwalidzkiego w tylnej części przestrzeni pasażerskiej (za III rzędem siedzeń)  umożliwiające mocowanie wózka na przestrzeni o długości min. 1500 mm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Konfiguracja foteli przy przewozie osoby na wózku inwalidzkim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right="0" w:hanging="0"/>
              <w:jc w:val="both"/>
              <w:rPr/>
            </w:pPr>
            <w:r>
              <w:rPr>
                <w:sz w:val="24"/>
                <w:szCs w:val="24"/>
                <w:u w:val="none"/>
              </w:rPr>
              <w:t>Przewóz osoby na wózku inwalidzkim będzie umiejscowione w tylnej części przestrzeni pasażerskiej, nie może wymagać konieczności całkowitego demontażu i usunięcia z pojazdu III rzędu siedzeń.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Oznakowanie 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Oznakowanie pojazdu z przodu i z tyłu kwadratowymi tablicami barwy niebieskiej z międzynarodowym symbolem wózka inwalidzkiego barwy białe zgodnie z obowiązującymi przepisami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Pasy mocujące wózek inwalidzki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numPr>
                <w:ilvl w:val="0"/>
                <w:numId w:val="0"/>
              </w:numPr>
              <w:bidi w:val="0"/>
              <w:spacing w:lineRule="auto" w:line="264" w:before="0" w:after="0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Komplet pasów do 4 punktowego mocowania wózka inwalidzkiego do uchwytów podłogowych – 1 kpl.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Pas bezpieczeństwa dla osoby przewożonej na wózku inwalidzkim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numPr>
                <w:ilvl w:val="0"/>
                <w:numId w:val="0"/>
              </w:numPr>
              <w:bidi w:val="0"/>
              <w:spacing w:lineRule="auto" w:line="264" w:before="0" w:after="0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Pas bezpieczeństwa bezwładnościowy dla osób przewożonych na na wózku inwalidzkim – 1 kpl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Najazdy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numPr>
                <w:ilvl w:val="0"/>
                <w:numId w:val="0"/>
              </w:numPr>
              <w:bidi w:val="0"/>
              <w:spacing w:lineRule="auto" w:line="264" w:before="0" w:after="0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Najazdy teleskopowe aluminiowe z bieżnią przeciwpoślizgową o nośności min. 150 kg. długości (po rozłożeniu ) min. 2000 mm, z mocowaniem do progu </w:t>
            </w: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pl-PL" w:eastAsia="zh-CN" w:bidi="hi-IN"/>
              </w:rPr>
              <w:t xml:space="preserve">tylnych drzwi </w:t>
            </w:r>
            <w:r>
              <w:rPr>
                <w:sz w:val="24"/>
                <w:szCs w:val="24"/>
              </w:rPr>
              <w:t xml:space="preserve"> uniemożliwiające niezamierzone przesunięcie się szyny podczas najazdu wózka, składane i mocowane do wnętrza pojazdu.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Dodatkowy uchwyt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Uchwyt ułatwiający wsiadanie do części pasażerskiej przez drzwi boczne przesuwne.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>VII. WARUNKI GWARANCJI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Gwarancja mechaniczna na silnik, wszystkie zespoły i podzespoły elektryczne, mechaniczne bez limitu kilometrów licząc od dnia dostawy</w:t>
              <w:tab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min. 24 m-ce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Gwarancja na powłoki lakiernicze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min. 96 m-cy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Gwarancja dotycząca perforacji podwozia i nadwozia bez limitu kilometrów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min. 36-m-ce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/>
                <w:lang w:eastAsia="en-US"/>
              </w:rPr>
              <w:t>Gwarancja na wykonaną zabudowę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min. 24 m-ce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Fonts w:eastAsia="Calibri"/>
                <w:lang w:eastAsia="en-US"/>
              </w:rPr>
              <w:t>Siedziba serwisu gwarancyjnego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kapitzlist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Fonts w:eastAsia="Calibri"/>
                <w:lang w:eastAsia="en-US"/>
              </w:rPr>
              <w:t>Serwis przeglądów gwarancyjnych musi znajdować się w odległości do 150 km od siedziby zamawiającego.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>VIII. DOKUMENTACJA</w:t>
            </w:r>
          </w:p>
        </w:tc>
        <w:tc>
          <w:tcPr>
            <w:tcW w:w="6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Homologacja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Świadectwo homologacji potwierdzające przystosowanie pojazdu do przewozu osób niepełnosprawnych lub fabryczna homologacja samochodu bazowego oraz badania stacji diagnostycznej potwierdzające, że po adaptacji jest to pojazd przystosowany do przewozu osób niepełnosprawnych.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/>
                <w:kern w:val="2"/>
                <w:lang w:eastAsia="zh-CN"/>
              </w:rPr>
              <w:t>Pojazd stanowiący przedmiot zamówienia musi spełniać warunki określone w art. 58 i 66 ustawy z dnia 20 czerwca 1997 r. Prawo o ruchu drogowym (tj. Dz. U. z 2017 r. poz. 1260 z późn. zm.), rozporządzeniu Ministra Infrastruktury z dnia 31 grudnia 2002r. w sprawie warunków technicznych pojazdów oraz zakresu ich niezbędnego wyposażenia (tj. Dz. U. z 2016 r., poz. 2022) oraz warunki przewidziane przez przepisy prawa wspólnotowego Unii Europejskiej zapisane w Dyrektywie Parlamentu i Rady Europy 2007/46/WE dotyczące przewozu osób niepełnosprawnych.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Arial"/>
                <w:color w:val="auto"/>
                <w:kern w:val="2"/>
                <w:sz w:val="24"/>
                <w:szCs w:val="24"/>
                <w:lang w:val="pl-PL" w:eastAsia="en-US" w:bidi="hi-IN"/>
              </w:rPr>
              <w:t>Pozostała dokumentacja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/>
                <w:lang w:eastAsia="en-US"/>
              </w:rPr>
              <w:t>instrukcja obsługi w języku polskim, książka serwisowa oraz inne niezbędne dokumenty wymagane prawem polskim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/>
                <w:lang w:eastAsia="en-US"/>
              </w:rPr>
              <w:t>Ważne badania techniczne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/>
                <w:lang w:eastAsia="en-US"/>
              </w:rPr>
              <w:t>Atesty, certyfikaty, gwarancje dotyczące oznaczonych wyżej elementów wyposażenia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sz w:val="24"/>
        </w:rPr>
        <w:t xml:space="preserve">UWAGA! Należy obligatoryjnie wypełnić wszystkie pozycje tabeli. </w:t>
      </w:r>
    </w:p>
    <w:p>
      <w:pPr>
        <w:pStyle w:val="Normal"/>
        <w:bidi w:val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4"/>
        </w:rPr>
        <w:t>W przypadku spełnienia powyższych wymagań należy zaznaczyć „</w:t>
      </w:r>
      <w:r>
        <w:rPr>
          <w:b/>
          <w:bCs/>
          <w:sz w:val="24"/>
        </w:rPr>
        <w:t>TAK</w:t>
      </w:r>
      <w:r>
        <w:rPr>
          <w:b w:val="false"/>
          <w:bCs w:val="false"/>
          <w:sz w:val="24"/>
        </w:rPr>
        <w:t>” lub podać oferowany parametr. Zaznaczenie „</w:t>
      </w:r>
      <w:r>
        <w:rPr>
          <w:b/>
          <w:bCs/>
          <w:sz w:val="24"/>
        </w:rPr>
        <w:t>NIE</w:t>
      </w:r>
      <w:r>
        <w:rPr>
          <w:b w:val="false"/>
          <w:bCs w:val="false"/>
          <w:sz w:val="24"/>
        </w:rPr>
        <w:t xml:space="preserve">” w którymkolwiek punkcie lub podanie mniejszego parametru jak minimum (min.) lub większego jak maksimum (max.) wymagane przez Zamawiającego, skutkować będzie </w:t>
      </w:r>
      <w:r>
        <w:rPr>
          <w:b/>
          <w:bCs/>
          <w:sz w:val="24"/>
        </w:rPr>
        <w:t>odrzuceniem</w:t>
      </w:r>
      <w:r>
        <w:rPr>
          <w:b w:val="false"/>
          <w:bCs w:val="false"/>
          <w:sz w:val="24"/>
        </w:rPr>
        <w:t xml:space="preserve"> oferty jako nie odpowiadającej treści SIWZ.</w:t>
      </w:r>
    </w:p>
    <w:p>
      <w:pPr>
        <w:pStyle w:val="Normal"/>
        <w:bidi w:val="0"/>
        <w:jc w:val="left"/>
        <w:rPr>
          <w:rFonts w:ascii="Calibri" w:hAnsi="Calibri" w:eastAsia="Times New Roman"/>
          <w:b/>
          <w:b/>
          <w:bCs/>
          <w:color w:val="C9211E"/>
          <w:kern w:val="2"/>
          <w:lang w:eastAsia="zh-CN"/>
        </w:rPr>
      </w:pPr>
      <w:r>
        <w:rPr>
          <w:rFonts w:eastAsia="Times New Roman" w:ascii="Calibri" w:hAnsi="Calibri"/>
          <w:b/>
          <w:bCs/>
          <w:color w:val="C9211E"/>
          <w:kern w:val="2"/>
          <w:lang w:eastAsia="zh-CN"/>
        </w:rPr>
      </w:r>
    </w:p>
    <w:p>
      <w:pPr>
        <w:pStyle w:val="Normal"/>
        <w:bidi w:val="0"/>
        <w:jc w:val="left"/>
        <w:rPr/>
      </w:pPr>
      <w:r>
        <w:rPr>
          <w:rFonts w:eastAsia="Calibri"/>
          <w:b/>
          <w:bCs/>
          <w:color w:val="000000"/>
          <w:lang w:eastAsia="en-US"/>
        </w:rPr>
        <w:t xml:space="preserve">Termin wykonania zamówienia do 80 dni od dnia podpisania umowy. </w:t>
      </w:r>
    </w:p>
    <w:p>
      <w:pPr>
        <w:pStyle w:val="Normal"/>
        <w:bidi w:val="0"/>
        <w:jc w:val="left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000000"/>
        </w:rPr>
        <w:t>Wydłużenie okresu gwarancji mechanicznej o: ……………………….. (zgodnie z siwz nie mniej niż 3 m-ce, wskazać 3,6,9,12 miesięcy)</w:t>
      </w:r>
    </w:p>
    <w:p>
      <w:pPr>
        <w:pStyle w:val="Normal"/>
        <w:bidi w:val="0"/>
        <w:jc w:val="left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bidi w:val="0"/>
        <w:jc w:val="left"/>
        <w:rPr/>
      </w:pPr>
      <w:r>
        <w:rPr>
          <w:rFonts w:eastAsia="Calibri"/>
          <w:b/>
          <w:bCs/>
          <w:lang w:eastAsia="en-US"/>
        </w:rPr>
        <w:t>Cena brutto na całość zamówienia wynosi: …………………………………………. zł.</w:t>
      </w:r>
    </w:p>
    <w:p>
      <w:pPr>
        <w:pStyle w:val="Normal"/>
        <w:bidi w:val="0"/>
        <w:jc w:val="left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</w:p>
    <w:p>
      <w:pPr>
        <w:pStyle w:val="Normal"/>
        <w:bidi w:val="0"/>
        <w:jc w:val="left"/>
        <w:rPr/>
      </w:pPr>
      <w:r>
        <w:rPr>
          <w:rFonts w:eastAsia="Calibri"/>
          <w:b/>
          <w:bCs/>
          <w:lang w:eastAsia="en-US"/>
        </w:rPr>
        <w:t>Słownie: …………………………………………………………………………………</w:t>
      </w:r>
    </w:p>
    <w:p>
      <w:pPr>
        <w:pStyle w:val="Normal"/>
        <w:bidi w:val="0"/>
        <w:jc w:val="left"/>
        <w:rPr>
          <w:rFonts w:eastAsia="Calibri"/>
        </w:rPr>
      </w:pPr>
      <w:r>
        <w:rPr>
          <w:rFonts w:eastAsia="Calibri"/>
        </w:rPr>
      </w:r>
    </w:p>
    <w:p>
      <w:pPr>
        <w:pStyle w:val="Normal"/>
        <w:bidi w:val="0"/>
        <w:spacing w:lineRule="auto" w:line="240" w:before="0" w:after="0"/>
        <w:ind w:right="0" w:hanging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eastAsia="Times New Roman"/>
        </w:rPr>
        <w:t>2.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color w:val="000000"/>
        </w:rPr>
        <w:t>Oświadczamy, że zawarty w specyfikacji istotnych warunków zamówienia wzór umowy został przez nas zaakceptowany i zobowiązujemy się w przypadku wyboru naszej oferty do zawarcia umowy  w miejscu i terminie wyznaczonym przez Zamawiającego.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eastAsia="Times New Roman"/>
          <w:color w:val="000000"/>
        </w:rPr>
        <w:t>3. Oświadczamy, że zapoznaliśmy się ze specyfikacją istotnych warunków zamówienia oraz jej załącznikami i przyjmujemy ją bez zastrzeżeń.</w:t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eastAsia="Times New Roman"/>
        </w:rPr>
        <w:t xml:space="preserve">4. </w:t>
      </w:r>
      <w:r>
        <w:rPr>
          <w:rFonts w:eastAsia="Calibri"/>
        </w:rPr>
        <w:t>Informujemy, że jesteśmy:</w:t>
      </w:r>
    </w:p>
    <w:p>
      <w:pPr>
        <w:pStyle w:val="Normal"/>
        <w:bidi w:val="0"/>
        <w:spacing w:lineRule="auto" w:line="240" w:before="0" w:after="0"/>
        <w:ind w:left="708" w:right="0" w:hanging="0"/>
        <w:jc w:val="left"/>
        <w:rPr>
          <w:rFonts w:ascii="Calibri" w:hAnsi="Calibri" w:eastAsia="Times New Roman"/>
          <w:b w:val="false"/>
          <w:b w:val="false"/>
          <w:bCs w:val="false"/>
          <w:sz w:val="20"/>
          <w:szCs w:val="20"/>
          <w:lang w:val="x-none"/>
        </w:rPr>
      </w:pPr>
      <w:r>
        <w:rPr>
          <w:rFonts w:eastAsia="Times New Roman" w:ascii="Calibri" w:hAnsi="Calibri"/>
          <w:b w:val="false"/>
          <w:bCs w:val="false"/>
          <w:sz w:val="20"/>
          <w:szCs w:val="20"/>
          <w:lang w:val="x-none"/>
        </w:rPr>
      </w:r>
    </w:p>
    <w:p>
      <w:pPr>
        <w:pStyle w:val="Normal"/>
        <w:bidi w:val="0"/>
        <w:spacing w:lineRule="auto" w:line="240" w:before="0" w:after="0"/>
        <w:ind w:left="284" w:right="0" w:hanging="0"/>
        <w:jc w:val="both"/>
        <w:rPr/>
      </w:pPr>
      <w:r>
        <w:rPr>
          <w:rFonts w:eastAsia="Times New Roman"/>
          <w:b w:val="false"/>
          <w:bCs w:val="false"/>
        </w:rPr>
        <w:t>- mikroprzedsiębiorstwem/ małym przedsiębiorstwem/ średnim przedsiębiorstwem/ dużym przedsiębiorstwem*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  <w:b w:val="false"/>
          <w:b w:val="false"/>
          <w:bCs w:val="false"/>
        </w:rPr>
      </w:pPr>
      <w:r>
        <w:rPr>
          <w:rFonts w:eastAsia="Times New Roman" w:ascii="Calibri" w:hAnsi="Calibri"/>
          <w:b w:val="false"/>
          <w:bCs w:val="false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right="0" w:hanging="284"/>
        <w:jc w:val="both"/>
        <w:rPr/>
      </w:pPr>
      <w:r>
        <w:rPr>
          <w:rFonts w:eastAsia="Times New Roman"/>
        </w:rPr>
        <w:t>Informujemy, że:**</w:t>
      </w:r>
    </w:p>
    <w:p>
      <w:pPr>
        <w:pStyle w:val="Normal"/>
        <w:bidi w:val="0"/>
        <w:spacing w:lineRule="auto" w:line="240" w:before="0" w:after="0"/>
        <w:ind w:left="704" w:right="0" w:hanging="420"/>
        <w:jc w:val="both"/>
        <w:rPr/>
      </w:pPr>
      <w:r>
        <w:rPr>
          <w:rFonts w:eastAsia="Times New Roman"/>
        </w:rPr>
        <w:t>-</w:t>
        <w:tab/>
        <w:t xml:space="preserve">wybór oferty </w:t>
      </w:r>
      <w:r>
        <w:rPr>
          <w:rFonts w:eastAsia="Times New Roman"/>
          <w:b/>
        </w:rPr>
        <w:t>nie będzie</w:t>
      </w:r>
      <w:r>
        <w:rPr>
          <w:rFonts w:eastAsia="Times New Roman"/>
        </w:rPr>
        <w:t xml:space="preserve"> prowadzić do powstania u Zamawiającego obowiązku podatkowego*</w:t>
      </w:r>
    </w:p>
    <w:p>
      <w:pPr>
        <w:pStyle w:val="Normal"/>
        <w:bidi w:val="0"/>
        <w:spacing w:lineRule="auto" w:line="240" w:before="0" w:after="0"/>
        <w:ind w:left="704" w:right="0" w:hanging="420"/>
        <w:jc w:val="both"/>
        <w:rPr/>
      </w:pPr>
      <w:r>
        <w:rPr>
          <w:rFonts w:eastAsia="Times New Roman"/>
        </w:rPr>
        <w:t>-</w:t>
        <w:tab/>
        <w:t xml:space="preserve">wybór oferty </w:t>
      </w:r>
      <w:r>
        <w:rPr>
          <w:rFonts w:eastAsia="Times New Roman"/>
          <w:b/>
        </w:rPr>
        <w:t>będzie</w:t>
      </w:r>
      <w:r>
        <w:rPr>
          <w:rFonts w:eastAsia="Times New Roman"/>
        </w:rPr>
        <w:t xml:space="preserve"> prowadzić do powstania u Zamawiającego obowiązku podatkowego</w:t>
      </w:r>
    </w:p>
    <w:p>
      <w:pPr>
        <w:pStyle w:val="Normal"/>
        <w:bidi w:val="0"/>
        <w:spacing w:lineRule="auto" w:line="240" w:before="0" w:after="0"/>
        <w:ind w:left="704" w:right="0" w:hanging="420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bidi w:val="0"/>
        <w:spacing w:lineRule="auto" w:line="240" w:before="0" w:after="0"/>
        <w:ind w:left="284" w:right="0" w:hanging="0"/>
        <w:jc w:val="both"/>
        <w:rPr/>
      </w:pPr>
      <w:r>
        <w:rPr>
          <w:rFonts w:eastAsia="Times New Roman" w:ascii="Times New Roman" w:hAnsi="Times New Roman"/>
          <w:sz w:val="24"/>
        </w:rPr>
        <w:t xml:space="preserve">W przypadku odpowiedzi pozytywnej </w:t>
      </w:r>
      <w:r>
        <w:rPr>
          <w:rFonts w:ascii="TimesNewRomanPSMT" w:hAnsi="TimesNewRomanPSMT"/>
          <w:sz w:val="24"/>
        </w:rPr>
        <w:t xml:space="preserve">należy </w:t>
      </w:r>
      <w:r>
        <w:rPr>
          <w:rFonts w:ascii="Times New Roman" w:hAnsi="Times New Roman"/>
          <w:sz w:val="24"/>
        </w:rPr>
        <w:t>po</w:t>
      </w:r>
      <w:r>
        <w:rPr>
          <w:rFonts w:ascii="TimesNewRomanPSMT" w:hAnsi="TimesNewRomanPSMT"/>
          <w:sz w:val="24"/>
        </w:rPr>
        <w:t xml:space="preserve">niżej podać dane wymagane w art. 91 </w:t>
      </w:r>
      <w:r>
        <w:rPr>
          <w:rFonts w:ascii="Times New Roman" w:hAnsi="Times New Roman"/>
          <w:sz w:val="24"/>
        </w:rPr>
        <w:t xml:space="preserve">ust. 3A zdanie 2 ustawy Pzp, tj. </w:t>
      </w:r>
      <w:r>
        <w:rPr>
          <w:rFonts w:ascii="TimesNewRomanPSMT" w:hAnsi="TimesNewRomanPSMT"/>
          <w:sz w:val="24"/>
        </w:rPr>
        <w:t xml:space="preserve">wskazać nazwę (rodzaj) towaru lub usługi, których </w:t>
      </w:r>
      <w:r>
        <w:rPr>
          <w:rFonts w:ascii="Times New Roman" w:hAnsi="Times New Roman"/>
          <w:sz w:val="24"/>
        </w:rPr>
        <w:t xml:space="preserve">dostawa </w:t>
      </w:r>
      <w:r>
        <w:rPr>
          <w:rFonts w:ascii="TimesNewRomanPSMT" w:hAnsi="TimesNewRomanPSMT"/>
          <w:sz w:val="24"/>
        </w:rPr>
        <w:t>lub świadczenie będzie prowadzić do powstania takiego obowiązku podatkowego oraz wskazać wartości tego towaru lub usługi bez kwoty podatku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bidi w:val="0"/>
        <w:spacing w:lineRule="auto" w:line="240" w:before="0" w:after="0"/>
        <w:ind w:left="704" w:right="0" w:hanging="420"/>
        <w:jc w:val="both"/>
        <w:rPr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bidi w:val="0"/>
        <w:spacing w:lineRule="auto" w:line="240" w:before="0" w:after="0"/>
        <w:ind w:left="704" w:right="0" w:hanging="420"/>
        <w:jc w:val="both"/>
        <w:rPr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bidi w:val="0"/>
        <w:spacing w:lineRule="auto" w:line="240" w:before="0" w:after="0"/>
        <w:ind w:left="704" w:right="0" w:hanging="420"/>
        <w:jc w:val="both"/>
        <w:rPr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..</w:t>
      </w:r>
    </w:p>
    <w:p>
      <w:pPr>
        <w:pStyle w:val="Normal"/>
        <w:bidi w:val="0"/>
        <w:spacing w:lineRule="auto" w:line="240" w:before="0" w:after="0"/>
        <w:ind w:left="704" w:right="0" w:hanging="0"/>
        <w:jc w:val="both"/>
        <w:rPr>
          <w:rFonts w:ascii="Calibri" w:hAnsi="Calibri" w:eastAsia="Times New Roman"/>
          <w:i/>
          <w:i/>
          <w:vertAlign w:val="superscript"/>
        </w:rPr>
      </w:pPr>
      <w:r>
        <w:rPr>
          <w:rFonts w:eastAsia="Times New Roman" w:ascii="Calibri" w:hAnsi="Calibri"/>
          <w:i/>
          <w:vertAlign w:val="superscript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right="0" w:hanging="284"/>
        <w:jc w:val="both"/>
        <w:rPr/>
      </w:pPr>
      <w:r>
        <w:rPr>
          <w:rFonts w:eastAsia="Times New Roman"/>
          <w:color w:val="000000"/>
        </w:rPr>
        <w:t>Oświadczamy, iż zamierzamy zlecić podwykonawcy następujące części zamówienia:</w:t>
      </w:r>
    </w:p>
    <w:p>
      <w:pPr>
        <w:pStyle w:val="Normal"/>
        <w:bidi w:val="0"/>
        <w:spacing w:lineRule="auto" w:line="360" w:before="20" w:after="20"/>
        <w:ind w:left="360" w:right="0" w:hanging="0"/>
        <w:jc w:val="left"/>
        <w:rPr/>
      </w:pPr>
      <w:r>
        <w:rPr>
          <w:rFonts w:eastAsia="Times New Roman"/>
          <w:i/>
          <w:color w:val="000000"/>
          <w:lang w:val="x-none" w:eastAsia="x-none"/>
        </w:rPr>
        <w:t xml:space="preserve">(wypełnić tylko w przypadku realizacji zamówienia przy udziale podwykonawców) 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120"/>
        <w:ind w:right="0" w:hanging="0"/>
        <w:jc w:val="left"/>
        <w:rPr/>
      </w:pPr>
      <w:r>
        <w:rPr>
          <w:rFonts w:eastAsia="Times New Roman"/>
          <w:lang w:eastAsia="ar-SA"/>
        </w:rPr>
        <w:t xml:space="preserve">a) część 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120"/>
        <w:ind w:right="0" w:hanging="0"/>
        <w:jc w:val="left"/>
        <w:rPr/>
      </w:pPr>
      <w:r>
        <w:rPr>
          <w:rFonts w:eastAsia="Times New Roman"/>
          <w:lang w:eastAsia="ar-SA"/>
        </w:rPr>
        <w:t>nazwa podwykonawcy ……………………………………………………………..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120"/>
        <w:ind w:right="0" w:hanging="0"/>
        <w:jc w:val="left"/>
        <w:rPr/>
      </w:pPr>
      <w:r>
        <w:rPr>
          <w:rFonts w:eastAsia="Times New Roman"/>
          <w:lang w:eastAsia="ar-SA"/>
        </w:rPr>
        <w:t xml:space="preserve">b) część 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76" w:before="0" w:after="120"/>
        <w:ind w:right="0" w:hanging="0"/>
        <w:jc w:val="left"/>
        <w:rPr/>
      </w:pPr>
      <w:r>
        <w:rPr>
          <w:rFonts w:eastAsia="Times New Roman"/>
          <w:lang w:eastAsia="ar-SA"/>
        </w:rPr>
        <w:t>nazwa podwykonawcy ……………………………………………………………..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right="0" w:hanging="284"/>
        <w:jc w:val="both"/>
        <w:rPr/>
      </w:pPr>
      <w:r>
        <w:rPr>
          <w:rFonts w:eastAsia="Times New Roman"/>
        </w:rPr>
        <w:t>Integralną część niniejszej oferty stanowią dokumenty wymagane treścią rozdziału IX siwz oraz wypełnione i podpisane załączniki wymagane przez zamawiającego w niniejszej siwz.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</w:r>
    </w:p>
    <w:p>
      <w:pPr>
        <w:pStyle w:val="Normal"/>
        <w:bidi w:val="0"/>
        <w:spacing w:before="0" w:after="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ind w:left="4248" w:right="0" w:firstLine="708"/>
        <w:jc w:val="both"/>
        <w:rPr/>
      </w:pPr>
      <w:r>
        <w:rPr>
          <w:rFonts w:eastAsia="Calibri" w:cs="Arial"/>
          <w:lang w:eastAsia="en-US"/>
        </w:rPr>
        <w:t>…………………………………………………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678"/>
        <w:jc w:val="center"/>
        <w:rPr>
          <w:rFonts w:eastAsia="Times New Roman"/>
          <w:i/>
          <w:i/>
          <w:iCs/>
          <w:color w:val="000000"/>
          <w:sz w:val="20"/>
        </w:rPr>
      </w:pPr>
      <w:r>
        <w:rPr>
          <w:rFonts w:eastAsia="Times New Roman"/>
          <w:i/>
          <w:iCs/>
          <w:color w:val="000000"/>
          <w:sz w:val="20"/>
        </w:rPr>
      </w:r>
    </w:p>
    <w:p>
      <w:pPr>
        <w:pStyle w:val="Normal"/>
        <w:bidi w:val="0"/>
        <w:spacing w:before="0" w:after="0"/>
        <w:ind w:left="0" w:right="0" w:firstLine="4678"/>
        <w:jc w:val="center"/>
        <w:rPr>
          <w:rFonts w:eastAsia="Times New Roman"/>
          <w:i/>
          <w:i/>
          <w:iCs/>
          <w:color w:val="000000"/>
          <w:sz w:val="20"/>
        </w:rPr>
      </w:pPr>
      <w:r>
        <w:rPr>
          <w:rFonts w:eastAsia="Times New Roman"/>
          <w:i/>
          <w:iCs/>
          <w:color w:val="000000"/>
          <w:sz w:val="20"/>
        </w:rPr>
      </w:r>
    </w:p>
    <w:p>
      <w:pPr>
        <w:pStyle w:val="Normal"/>
        <w:bidi w:val="0"/>
        <w:spacing w:before="0" w:after="0"/>
        <w:ind w:left="0" w:right="0" w:firstLine="4678"/>
        <w:jc w:val="center"/>
        <w:rPr>
          <w:rFonts w:eastAsia="Times New Roman"/>
          <w:i/>
          <w:i/>
          <w:iCs/>
          <w:color w:val="000000"/>
          <w:sz w:val="20"/>
        </w:rPr>
      </w:pPr>
      <w:r>
        <w:rPr>
          <w:rFonts w:eastAsia="Times New Roman"/>
          <w:i/>
          <w:iCs/>
          <w:color w:val="000000"/>
          <w:sz w:val="20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lineRule="auto" w:line="240"/>
        <w:jc w:val="left"/>
        <w:rPr/>
      </w:pPr>
      <w:r>
        <w:rPr>
          <w:rFonts w:eastAsia="Calibri"/>
          <w:sz w:val="18"/>
          <w:szCs w:val="18"/>
        </w:rPr>
        <w:t>*niepotrzebne skreślić</w:t>
      </w:r>
    </w:p>
    <w:p>
      <w:pPr>
        <w:pStyle w:val="Normal"/>
        <w:tabs>
          <w:tab w:val="clear" w:pos="709"/>
          <w:tab w:val="right" w:pos="9356" w:leader="none"/>
        </w:tabs>
        <w:bidi w:val="0"/>
        <w:spacing w:lineRule="auto" w:line="240"/>
        <w:ind w:left="142" w:right="0" w:hanging="142"/>
        <w:jc w:val="both"/>
        <w:rPr/>
      </w:pPr>
      <w:r>
        <w:rPr>
          <w:rFonts w:eastAsia="Calibri"/>
          <w:sz w:val="18"/>
          <w:szCs w:val="18"/>
        </w:rPr>
        <w:t>**dotyczy Wykonawców, których oferty będą generować obowiązek doliczania podatku VAT do wartości netto oferty, tj. w 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b/>
        <w:rFonts w:eastAsia="Times New Roman"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b/>
        <w:rFonts w:eastAsia="Times New Roman"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b/>
        <w:rFonts w:eastAsia="Times New Roman"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b/>
        <w:rFonts w:eastAsia="Times New Roman"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b/>
        <w:rFonts w:eastAsia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b/>
        <w:rFonts w:eastAsia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b/>
        <w:rFonts w:eastAsia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b/>
        <w:rFonts w:eastAsia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LibreOffice/6.3.0.4$Windows_X86_64 LibreOffice_project/057fc023c990d676a43019934386b85b21a9ee99</Application>
  <Pages>7</Pages>
  <Words>1386</Words>
  <Characters>10008</Characters>
  <CharactersWithSpaces>11378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2019-08-26T09:52:45Z</dcterms:created>
  <dc:creator/>
  <dc:description/>
  <dc:language>pl-PL</dc:language>
  <cp:lastModifiedBy/>
  <dcterms:modified xsi:type="dcterms:W3CDTF">2019-08-26T10:51:22Z</dcterms:modified>
  <cp:revision>2</cp:revision>
  <dc:subject/>
  <dc:title/>
</cp:coreProperties>
</file>